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D9E" w14:textId="77777777" w:rsidR="00B800D0" w:rsidRDefault="00AB4E3C">
      <w:pPr>
        <w:pStyle w:val="Titolo"/>
        <w:numPr>
          <w:ilvl w:val="0"/>
          <w:numId w:val="1"/>
        </w:numPr>
        <w:rPr>
          <w:rFonts w:ascii="Titillium" w:hAnsi="Titillium"/>
          <w:sz w:val="20"/>
          <w:szCs w:val="20"/>
        </w:rPr>
      </w:pPr>
      <w:r>
        <w:t xml:space="preserve">Scheda di sintesi sulla rilevazione degli OIV o </w:t>
      </w:r>
      <w:r>
        <w:rPr>
          <w:rFonts w:ascii="Titillium" w:hAnsi="Titillium"/>
          <w:sz w:val="20"/>
          <w:szCs w:val="20"/>
        </w:rPr>
        <w:t>organismi con funzioni analoghe</w:t>
      </w:r>
    </w:p>
    <w:p w14:paraId="1084F49E" w14:textId="77777777" w:rsidR="00B800D0" w:rsidRDefault="00B800D0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7A8FB95" w14:textId="77777777" w:rsidR="00B800D0" w:rsidRDefault="00AB4E3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8C86716" w14:textId="4C1FB06E" w:rsidR="00B800D0" w:rsidRDefault="00520023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AB4E3C">
        <w:rPr>
          <w:rFonts w:ascii="Titillium" w:hAnsi="Titillium"/>
          <w:sz w:val="20"/>
          <w:szCs w:val="20"/>
        </w:rPr>
        <w:t xml:space="preserve">ata di svolgimento della rilevazione </w:t>
      </w:r>
      <w:r>
        <w:rPr>
          <w:rFonts w:ascii="Titillium" w:hAnsi="Titillium"/>
          <w:sz w:val="20"/>
          <w:szCs w:val="20"/>
        </w:rPr>
        <w:t>15/05/2021 al 3</w:t>
      </w:r>
      <w:r w:rsidR="00364710">
        <w:rPr>
          <w:rFonts w:ascii="Titillium" w:hAnsi="Titillium"/>
          <w:sz w:val="20"/>
          <w:szCs w:val="20"/>
        </w:rPr>
        <w:t>1</w:t>
      </w:r>
      <w:r w:rsidR="00AB4E3C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05</w:t>
      </w:r>
      <w:r w:rsidR="00AB4E3C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2021</w:t>
      </w:r>
    </w:p>
    <w:p w14:paraId="03F27AD6" w14:textId="77777777" w:rsidR="00B800D0" w:rsidRDefault="00B800D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85F17D2" w14:textId="77777777" w:rsidR="00B800D0" w:rsidRDefault="00AB4E3C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43218FFB" w14:textId="77777777" w:rsidR="00B800D0" w:rsidRDefault="00B800D0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99D6EF7" w14:textId="77777777" w:rsidR="00B800D0" w:rsidRDefault="00AB4E3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il numero complessivo degli uffici periferici esistenti e, se diverse, le tipologie di uffici periferici.</w:t>
      </w:r>
    </w:p>
    <w:p w14:paraId="27B6F151" w14:textId="77777777" w:rsidR="00B800D0" w:rsidRDefault="00AB4E3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Per la formazione del campione di uffici periferici su cui effettuare la rilevazione, indicare il criterio di selezione del campione.</w:t>
      </w:r>
    </w:p>
    <w:p w14:paraId="3054865F" w14:textId="77777777" w:rsidR="00B800D0" w:rsidRDefault="00AB4E3C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Riportare l’elenco degli uffici periferici selezionati.</w:t>
      </w:r>
    </w:p>
    <w:p w14:paraId="35B3AB1A" w14:textId="77777777" w:rsidR="00B800D0" w:rsidRDefault="00B800D0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8B7CDF3" w14:textId="77777777" w:rsidR="00B800D0" w:rsidRDefault="00AB4E3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E64C462" w14:textId="77777777" w:rsidR="00B800D0" w:rsidRDefault="00AB4E3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0ACECD07" w14:textId="77777777" w:rsidR="00B800D0" w:rsidRDefault="00AB4E3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3A9C4ED3" w14:textId="77777777" w:rsidR="00B800D0" w:rsidRDefault="00AB4E3C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1988C0DB" w14:textId="77777777" w:rsidR="00B800D0" w:rsidRDefault="00AB4E3C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2E5B60FC" w14:textId="77777777" w:rsidR="00B800D0" w:rsidRDefault="00AB4E3C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trasmissione dei dati;</w:t>
      </w:r>
    </w:p>
    <w:p w14:paraId="02A46BB5" w14:textId="77777777" w:rsidR="00B800D0" w:rsidRDefault="00AB4E3C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8C4AF28" w14:textId="77777777" w:rsidR="00B800D0" w:rsidRDefault="00AB4E3C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2C807869" w14:textId="77777777" w:rsidR="00B800D0" w:rsidRDefault="00B800D0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7982DAF" w14:textId="77777777" w:rsidR="00B800D0" w:rsidRDefault="00AB4E3C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41D6EBD" w14:textId="77777777" w:rsidR="00B800D0" w:rsidRDefault="00B800D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82E0C2B" w14:textId="77777777" w:rsidR="00B800D0" w:rsidRDefault="00B800D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995C0B7" w14:textId="77777777" w:rsidR="00B800D0" w:rsidRDefault="00AB4E3C">
      <w:pPr>
        <w:spacing w:line="360" w:lineRule="auto"/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B800D0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E8CB" w14:textId="77777777" w:rsidR="00E94DEF" w:rsidRDefault="00E94DEF">
      <w:pPr>
        <w:spacing w:after="0" w:line="240" w:lineRule="auto"/>
      </w:pPr>
      <w:r>
        <w:separator/>
      </w:r>
    </w:p>
  </w:endnote>
  <w:endnote w:type="continuationSeparator" w:id="0">
    <w:p w14:paraId="7F2CC869" w14:textId="77777777" w:rsidR="00E94DEF" w:rsidRDefault="00E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E951" w14:textId="77777777" w:rsidR="00E94DEF" w:rsidRDefault="00E94DEF">
      <w:pPr>
        <w:spacing w:after="0" w:line="240" w:lineRule="auto"/>
      </w:pPr>
      <w:r>
        <w:separator/>
      </w:r>
    </w:p>
  </w:footnote>
  <w:footnote w:type="continuationSeparator" w:id="0">
    <w:p w14:paraId="0B69D709" w14:textId="77777777" w:rsidR="00E94DEF" w:rsidRDefault="00E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5582" w14:textId="77777777" w:rsidR="00B800D0" w:rsidRDefault="00AB4E3C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1270" distL="114300" distR="114300" simplePos="0" relativeHeight="2" behindDoc="1" locked="0" layoutInCell="1" allowOverlap="1" wp14:anchorId="1B60A9D2" wp14:editId="665FB0D5">
          <wp:simplePos x="0" y="0"/>
          <wp:positionH relativeFrom="margin">
            <wp:posOffset>-271780</wp:posOffset>
          </wp:positionH>
          <wp:positionV relativeFrom="paragraph">
            <wp:posOffset>453390</wp:posOffset>
          </wp:positionV>
          <wp:extent cx="2879725" cy="341630"/>
          <wp:effectExtent l="0" t="0" r="0" b="0"/>
          <wp:wrapSquare wrapText="bothSides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A2274E" w14:textId="77777777" w:rsidR="00B800D0" w:rsidRDefault="00B800D0">
    <w:pPr>
      <w:pStyle w:val="Intestazione"/>
      <w:jc w:val="right"/>
      <w:rPr>
        <w:rFonts w:ascii="Garamond" w:hAnsi="Garamond"/>
        <w:b/>
      </w:rPr>
    </w:pPr>
  </w:p>
  <w:p w14:paraId="26CAB554" w14:textId="77777777" w:rsidR="00B800D0" w:rsidRDefault="00AB4E3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99B10C3" w14:textId="77777777" w:rsidR="00B800D0" w:rsidRDefault="00AB4E3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ascii="Titillium" w:hAnsi="Titillium" w:cs="Times New Roman"/>
        <w:b/>
        <w:sz w:val="20"/>
        <w:szCs w:val="20"/>
      </w:rPr>
      <w:t>delibera ANAC n. 294/2021</w:t>
    </w:r>
  </w:p>
  <w:p w14:paraId="5CDED9FC" w14:textId="77777777" w:rsidR="00B800D0" w:rsidRDefault="00B800D0">
    <w:pPr>
      <w:pStyle w:val="Intestazione"/>
      <w:jc w:val="right"/>
      <w:rPr>
        <w:rFonts w:ascii="Garamond" w:hAnsi="Garamond" w:cs="Times New Roman"/>
        <w:b/>
      </w:rPr>
    </w:pPr>
  </w:p>
  <w:p w14:paraId="6C5D8DE2" w14:textId="77777777" w:rsidR="00B800D0" w:rsidRDefault="00B800D0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DF6"/>
    <w:multiLevelType w:val="multilevel"/>
    <w:tmpl w:val="C480EB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2652BCE"/>
    <w:multiLevelType w:val="multilevel"/>
    <w:tmpl w:val="8EA829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931D2"/>
    <w:multiLevelType w:val="multilevel"/>
    <w:tmpl w:val="EBC69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D0"/>
    <w:rsid w:val="00364710"/>
    <w:rsid w:val="00520023"/>
    <w:rsid w:val="00AB4E3C"/>
    <w:rsid w:val="00B800D0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3F7"/>
  <w15:docId w15:val="{3BE482DA-1185-468E-9651-034C236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00000A"/>
      <w:sz w:val="24"/>
      <w:szCs w:val="24"/>
      <w:lang w:eastAsia="ar-SA"/>
    </w:rPr>
  </w:style>
  <w:style w:type="paragraph" w:styleId="Titolo1">
    <w:name w:val="heading 1"/>
    <w:basedOn w:val="Titolo"/>
    <w:qFormat/>
  </w:style>
  <w:style w:type="paragraph" w:styleId="Titolo2">
    <w:name w:val="heading 2"/>
    <w:basedOn w:val="Titolo"/>
    <w:qFormat/>
    <w:pPr>
      <w:outlineLvl w:val="1"/>
    </w:pPr>
  </w:style>
  <w:style w:type="paragraph" w:styleId="Titolo3">
    <w:name w:val="heading 3"/>
    <w:basedOn w:val="Titolo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Titillium" w:hAnsi="Titillium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Cambria"/>
    </w:rPr>
  </w:style>
  <w:style w:type="character" w:customStyle="1" w:styleId="ListLabel6">
    <w:name w:val="ListLabel 6"/>
    <w:qFormat/>
    <w:rPr>
      <w:rFonts w:ascii="Titillium" w:hAnsi="Titillium" w:cs="Times New Roman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qFormat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Stefania Piccoli</cp:lastModifiedBy>
  <cp:revision>28</cp:revision>
  <cp:lastPrinted>2018-02-28T15:30:00Z</cp:lastPrinted>
  <dcterms:created xsi:type="dcterms:W3CDTF">2013-12-19T15:41:00Z</dcterms:created>
  <dcterms:modified xsi:type="dcterms:W3CDTF">2021-06-29T12:56:00Z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